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Theme="minorHAnsi" w:hAnsiTheme="minorHAnsi" w:eastAsiaTheme="minorEastAsia" w:cstheme="minorBidi"/>
          <w:kern w:val="2"/>
          <w:sz w:val="21"/>
          <w:szCs w:val="24"/>
          <w:lang w:val="en-US" w:eastAsia="zh-CN" w:bidi="ar-SA"/>
        </w:rPr>
      </w:pP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2021年“创客丝路”中国纺织服装中小企业</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创新创业大赛暨第二届纺织服装行业创新创业项目</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“产教融创”对接活动方案</w:t>
      </w:r>
    </w:p>
    <w:p>
      <w:pPr>
        <w:pStyle w:val="2"/>
        <w:rPr>
          <w:rFonts w:hint="eastAsia"/>
          <w:lang w:val="en-US" w:eastAsia="zh-CN"/>
        </w:rPr>
      </w:pPr>
    </w:p>
    <w:p>
      <w:pPr>
        <w:spacing w:line="560" w:lineRule="exact"/>
        <w:ind w:firstLine="640" w:firstLineChars="200"/>
        <w:jc w:val="lef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为落实纺织行业“十四五”发展目标，</w:t>
      </w:r>
      <w:r>
        <w:rPr>
          <w:rFonts w:hint="default" w:ascii="仿宋_GB2312" w:hAnsi="Times New Roman" w:eastAsia="仿宋_GB2312" w:cs="Times New Roman"/>
          <w:b w:val="0"/>
          <w:kern w:val="2"/>
          <w:sz w:val="32"/>
          <w:szCs w:val="32"/>
          <w:lang w:val="en-US" w:eastAsia="zh-CN" w:bidi="ar-SA"/>
        </w:rPr>
        <w:t>加快建设</w:t>
      </w:r>
      <w:r>
        <w:rPr>
          <w:rFonts w:hint="eastAsia" w:ascii="仿宋_GB2312" w:hAnsi="Times New Roman" w:eastAsia="仿宋_GB2312" w:cs="Times New Roman"/>
          <w:b w:val="0"/>
          <w:kern w:val="2"/>
          <w:sz w:val="32"/>
          <w:szCs w:val="32"/>
          <w:lang w:val="en-US" w:eastAsia="zh-CN" w:bidi="ar-SA"/>
        </w:rPr>
        <w:t>具有</w:t>
      </w:r>
      <w:r>
        <w:rPr>
          <w:rFonts w:hint="default" w:ascii="仿宋_GB2312" w:hAnsi="Times New Roman" w:eastAsia="仿宋_GB2312" w:cs="Times New Roman"/>
          <w:b w:val="0"/>
          <w:kern w:val="2"/>
          <w:sz w:val="32"/>
          <w:szCs w:val="32"/>
          <w:lang w:val="en-US" w:eastAsia="zh-CN" w:bidi="ar-SA"/>
        </w:rPr>
        <w:t>科技</w:t>
      </w:r>
      <w:r>
        <w:rPr>
          <w:rFonts w:hint="eastAsia" w:ascii="仿宋_GB2312" w:hAnsi="Times New Roman" w:eastAsia="仿宋_GB2312" w:cs="Times New Roman"/>
          <w:b w:val="0"/>
          <w:kern w:val="2"/>
          <w:sz w:val="32"/>
          <w:szCs w:val="32"/>
          <w:lang w:val="en-US" w:eastAsia="zh-CN" w:bidi="ar-SA"/>
        </w:rPr>
        <w:t>创新为核心竞争力的纺织</w:t>
      </w:r>
      <w:r>
        <w:rPr>
          <w:rFonts w:hint="default" w:ascii="仿宋_GB2312" w:hAnsi="Times New Roman" w:eastAsia="仿宋_GB2312" w:cs="Times New Roman"/>
          <w:b w:val="0"/>
          <w:kern w:val="2"/>
          <w:sz w:val="32"/>
          <w:szCs w:val="32"/>
          <w:lang w:val="en-US" w:eastAsia="zh-CN" w:bidi="ar-SA"/>
        </w:rPr>
        <w:t>强国</w:t>
      </w:r>
      <w:r>
        <w:rPr>
          <w:rFonts w:hint="eastAsia" w:ascii="仿宋_GB2312" w:hAnsi="Times New Roman" w:eastAsia="仿宋_GB2312" w:cs="Times New Roman"/>
          <w:b w:val="0"/>
          <w:kern w:val="2"/>
          <w:sz w:val="32"/>
          <w:szCs w:val="32"/>
          <w:lang w:val="en-US" w:eastAsia="zh-CN" w:bidi="ar-SA"/>
        </w:rPr>
        <w:t>，</w:t>
      </w:r>
      <w:r>
        <w:rPr>
          <w:rFonts w:hint="eastAsia" w:ascii="Times New Roman" w:hAnsi="Times New Roman" w:eastAsia="仿宋_GB2312" w:cs="Times New Roman"/>
          <w:sz w:val="32"/>
          <w:lang w:val="en-US" w:eastAsia="zh-CN"/>
        </w:rPr>
        <w:t>以创新驱动、高质量供给引领和创造新需求，按照</w:t>
      </w:r>
      <w:r>
        <w:rPr>
          <w:rFonts w:hint="eastAsia" w:ascii="仿宋_GB2312" w:hAnsi="Times New Roman" w:eastAsia="仿宋_GB2312" w:cs="Times New Roman"/>
          <w:b w:val="0"/>
          <w:kern w:val="2"/>
          <w:sz w:val="32"/>
          <w:szCs w:val="32"/>
          <w:lang w:val="en-US" w:eastAsia="zh-CN" w:bidi="ar-SA"/>
        </w:rPr>
        <w:t>中国纺织工业联合会年初工作部署，制订了</w:t>
      </w:r>
      <w:r>
        <w:rPr>
          <w:rFonts w:hint="eastAsia" w:ascii="Times New Roman" w:hAnsi="Times New Roman" w:eastAsia="仿宋_GB2312" w:cs="Times New Roman"/>
          <w:sz w:val="32"/>
          <w:lang w:val="en-US" w:eastAsia="zh-CN"/>
        </w:rPr>
        <w:t>2021年“创客丝路”中国纺织服装中小企业创新创业大赛暨第二届纺织服装行业创新创业项目“产教融创”对接活动方案。</w:t>
      </w:r>
    </w:p>
    <w:p>
      <w:pPr>
        <w:numPr>
          <w:ilvl w:val="0"/>
          <w:numId w:val="1"/>
        </w:numPr>
        <w:spacing w:before="156" w:beforeLines="50"/>
        <w:ind w:firstLine="640" w:firstLineChars="200"/>
        <w:rPr>
          <w:rFonts w:ascii="黑体" w:hAnsi="黑体" w:eastAsia="黑体" w:cs="黑体"/>
          <w:sz w:val="32"/>
          <w:szCs w:val="32"/>
        </w:rPr>
      </w:pPr>
      <w:r>
        <w:rPr>
          <w:rFonts w:hint="eastAsia" w:ascii="黑体" w:hAnsi="黑体" w:eastAsia="黑体" w:cs="黑体"/>
          <w:sz w:val="32"/>
          <w:szCs w:val="32"/>
        </w:rPr>
        <w:t>活动内容</w:t>
      </w:r>
    </w:p>
    <w:p>
      <w:pPr>
        <w:pStyle w:val="12"/>
        <w:numPr>
          <w:ilvl w:val="0"/>
          <w:numId w:val="2"/>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活动名称</w:t>
      </w:r>
    </w:p>
    <w:p>
      <w:pPr>
        <w:pStyle w:val="12"/>
        <w:spacing w:line="560" w:lineRule="exact"/>
        <w:ind w:left="630" w:firstLine="0" w:firstLineChars="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2021年“创客丝路 创新设界”中国纺织服装中小企业</w:t>
      </w:r>
    </w:p>
    <w:p>
      <w:pPr>
        <w:pStyle w:val="12"/>
        <w:spacing w:line="560" w:lineRule="exact"/>
        <w:ind w:firstLine="0" w:firstLineChars="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创新创业大赛暨第二届纺织服装行业创新创业项目“产教融创”对接会</w:t>
      </w:r>
    </w:p>
    <w:p>
      <w:pPr>
        <w:pStyle w:val="12"/>
        <w:numPr>
          <w:ilvl w:val="0"/>
          <w:numId w:val="2"/>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主题及意义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“发现新生力 Discover Fresh Force”。</w:t>
      </w:r>
    </w:p>
    <w:p>
      <w:pPr>
        <w:spacing w:line="56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以“发现新生力”为导向，以金融投资为活力，以成果转化和创客项目落地纺织服装产业集群（或园区）为目旳，汇集产业供给侧结构性改革的源动力，助推纺织服装产业大中小企业融通创新和高质量发展。 </w:t>
      </w:r>
    </w:p>
    <w:p>
      <w:pPr>
        <w:pStyle w:val="12"/>
        <w:numPr>
          <w:ilvl w:val="0"/>
          <w:numId w:val="2"/>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专题领域</w:t>
      </w:r>
    </w:p>
    <w:p>
      <w:pPr>
        <w:spacing w:line="56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聚焦“</w:t>
      </w:r>
      <w:r>
        <w:rPr>
          <w:rFonts w:hint="eastAsia" w:ascii="仿宋_GB2312" w:hAnsi="Times New Roman" w:eastAsia="仿宋_GB2312" w:cs="Times New Roman"/>
          <w:color w:val="000000" w:themeColor="text1"/>
          <w:sz w:val="32"/>
          <w:szCs w:val="32"/>
          <w14:textFill>
            <w14:solidFill>
              <w14:schemeClr w14:val="tx1"/>
            </w14:solidFill>
          </w14:textFill>
        </w:rPr>
        <w:t>产业</w:t>
      </w:r>
      <w:r>
        <w:rPr>
          <w:rFonts w:hint="eastAsia" w:ascii="仿宋_GB2312" w:hAnsi="Times New Roman" w:eastAsia="仿宋_GB2312" w:cs="Times New Roman"/>
          <w:color w:val="000000" w:themeColor="text1"/>
          <w:sz w:val="32"/>
          <w:szCs w:val="32"/>
          <w:lang w:eastAsia="zh-Hans"/>
          <w14:textFill>
            <w14:solidFill>
              <w14:schemeClr w14:val="tx1"/>
            </w14:solidFill>
          </w14:textFill>
        </w:rPr>
        <w:t>数</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字</w:t>
      </w:r>
      <w:r>
        <w:rPr>
          <w:rFonts w:hint="eastAsia" w:ascii="仿宋_GB2312" w:hAnsi="Times New Roman" w:eastAsia="仿宋_GB2312" w:cs="Times New Roman"/>
          <w:color w:val="000000" w:themeColor="text1"/>
          <w:sz w:val="32"/>
          <w:szCs w:val="32"/>
          <w:lang w:eastAsia="zh-Hans"/>
          <w14:textFill>
            <w14:solidFill>
              <w14:schemeClr w14:val="tx1"/>
            </w14:solidFill>
          </w14:textFill>
        </w:rPr>
        <w:t>化</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供应链</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产业数字</w:t>
      </w:r>
      <w:r>
        <w:rPr>
          <w:rFonts w:hint="eastAsia" w:ascii="仿宋_GB2312" w:hAnsi="Times New Roman" w:eastAsia="仿宋_GB2312" w:cs="Times New Roman"/>
          <w:color w:val="000000" w:themeColor="text1"/>
          <w:sz w:val="32"/>
          <w:szCs w:val="32"/>
          <w:lang w:eastAsia="zh-Hans"/>
          <w14:textFill>
            <w14:solidFill>
              <w14:schemeClr w14:val="tx1"/>
            </w14:solidFill>
          </w14:textFill>
        </w:rPr>
        <w:t>化</w:t>
      </w:r>
      <w:r>
        <w:rPr>
          <w:rFonts w:hint="eastAsia" w:ascii="仿宋_GB2312" w:hAnsi="Times New Roman" w:eastAsia="仿宋_GB2312" w:cs="Times New Roman"/>
          <w:color w:val="000000" w:themeColor="text1"/>
          <w:sz w:val="32"/>
          <w:szCs w:val="32"/>
          <w14:textFill>
            <w14:solidFill>
              <w14:schemeClr w14:val="tx1"/>
            </w14:solidFill>
          </w14:textFill>
        </w:rPr>
        <w:t>（消费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升级</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eastAsia="zh-Hans"/>
          <w14:textFill>
            <w14:solidFill>
              <w14:schemeClr w14:val="tx1"/>
            </w14:solidFill>
          </w14:textFill>
        </w:rPr>
        <w:t>材料科技</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sz w:val="32"/>
          <w:szCs w:val="32"/>
          <w:lang w:eastAsia="zh-Hans"/>
        </w:rPr>
        <w:t>设计创新</w:t>
      </w:r>
      <w:r>
        <w:rPr>
          <w:rFonts w:hint="eastAsia" w:ascii="仿宋_GB2312" w:hAnsi="Times New Roman" w:eastAsia="仿宋_GB2312" w:cs="Times New Roman"/>
          <w:sz w:val="32"/>
          <w:szCs w:val="32"/>
        </w:rPr>
        <w:t>”等四个专题方向。</w:t>
      </w:r>
    </w:p>
    <w:p>
      <w:pPr>
        <w:pStyle w:val="12"/>
        <w:numPr>
          <w:ilvl w:val="0"/>
          <w:numId w:val="2"/>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申报主体</w:t>
      </w:r>
    </w:p>
    <w:p>
      <w:pPr>
        <w:spacing w:line="56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行业龙头企业、产业集群、高职高校</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，重点吸纳中小微企业和创客工作室等。</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活动</w:t>
      </w:r>
      <w:r>
        <w:rPr>
          <w:rFonts w:hint="eastAsia" w:ascii="黑体" w:hAnsi="黑体" w:eastAsia="黑体" w:cs="黑体"/>
          <w:sz w:val="32"/>
          <w:szCs w:val="32"/>
        </w:rPr>
        <w:t>组织</w:t>
      </w:r>
    </w:p>
    <w:p>
      <w:pPr>
        <w:pStyle w:val="12"/>
        <w:numPr>
          <w:ilvl w:val="0"/>
          <w:numId w:val="3"/>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主办单位</w:t>
      </w:r>
    </w:p>
    <w:p>
      <w:pPr>
        <w:spacing w:line="56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中国纺织工业联合会</w:t>
      </w:r>
    </w:p>
    <w:p>
      <w:pPr>
        <w:pStyle w:val="12"/>
        <w:numPr>
          <w:ilvl w:val="0"/>
          <w:numId w:val="3"/>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承办单位</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纺织人才交流培训中心、上海设界商务</w:t>
      </w:r>
      <w:r>
        <w:rPr>
          <w:rFonts w:hint="eastAsia" w:ascii="仿宋_GB2312" w:hAnsi="Times New Roman" w:eastAsia="仿宋_GB2312" w:cs="Times New Roman"/>
          <w:sz w:val="32"/>
          <w:szCs w:val="32"/>
          <w:lang w:eastAsia="zh-CN"/>
        </w:rPr>
        <w:t>信息</w:t>
      </w:r>
      <w:r>
        <w:rPr>
          <w:rFonts w:hint="eastAsia" w:ascii="仿宋_GB2312" w:hAnsi="Times New Roman" w:eastAsia="仿宋_GB2312" w:cs="Times New Roman"/>
          <w:sz w:val="32"/>
          <w:szCs w:val="32"/>
        </w:rPr>
        <w:t>咨询有限公司</w:t>
      </w:r>
    </w:p>
    <w:p>
      <w:pPr>
        <w:pStyle w:val="12"/>
        <w:numPr>
          <w:ilvl w:val="0"/>
          <w:numId w:val="3"/>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协办单位</w:t>
      </w:r>
    </w:p>
    <w:p>
      <w:pPr>
        <w:spacing w:line="560" w:lineRule="exact"/>
        <w:ind w:firstLine="63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color w:val="000000" w:themeColor="text1"/>
          <w:sz w:val="32"/>
          <w:szCs w:val="32"/>
          <w14:textFill>
            <w14:solidFill>
              <w14:schemeClr w14:val="tx1"/>
            </w14:solidFill>
          </w14:textFill>
        </w:rPr>
        <w:t>工信部中小企业发展促进中心</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中国针织工业协会、</w:t>
      </w:r>
      <w:bookmarkStart w:id="0" w:name="_GoBack"/>
      <w:bookmarkEnd w:id="0"/>
      <w:r>
        <w:rPr>
          <w:rFonts w:hint="eastAsia" w:ascii="仿宋_GB2312" w:hAnsi="Times New Roman" w:eastAsia="仿宋_GB2312" w:cs="Times New Roman"/>
          <w:sz w:val="32"/>
          <w:szCs w:val="32"/>
          <w:lang w:eastAsia="zh-CN"/>
        </w:rPr>
        <w:t>中国纺织服装教育协会、</w:t>
      </w:r>
      <w:r>
        <w:rPr>
          <w:rFonts w:hint="eastAsia" w:ascii="仿宋_GB2312" w:hAnsi="Times New Roman" w:eastAsia="仿宋_GB2312" w:cs="Times New Roman"/>
          <w:sz w:val="32"/>
          <w:szCs w:val="32"/>
        </w:rPr>
        <w:t>纺织之光科技教育基金会、《中国纺织》杂志社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中国东方丝绸市场，桐乡濮院针织产业园区管理委员会，柯桥区中国轻纺城建设管理委员会，上海西虹桥商务开发有限公司等</w:t>
      </w:r>
      <w:r>
        <w:rPr>
          <w:rFonts w:hint="eastAsia" w:ascii="仿宋_GB2312" w:hAnsi="Times New Roman" w:eastAsia="仿宋_GB2312" w:cs="Times New Roman"/>
          <w:sz w:val="32"/>
          <w:szCs w:val="32"/>
          <w:lang w:eastAsia="zh-CN"/>
        </w:rPr>
        <w:t>。</w:t>
      </w:r>
    </w:p>
    <w:p>
      <w:pPr>
        <w:pStyle w:val="2"/>
        <w:numPr>
          <w:ilvl w:val="0"/>
          <w:numId w:val="3"/>
        </w:numPr>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评审委员会</w:t>
      </w:r>
    </w:p>
    <w:p>
      <w:pPr>
        <w:pStyle w:val="2"/>
        <w:ind w:left="630"/>
        <w:jc w:val="both"/>
        <w:rPr>
          <w:rFonts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行业专家及投资专家共同组成评审委员会，并拟请工</w:t>
      </w:r>
    </w:p>
    <w:p>
      <w:pPr>
        <w:pStyle w:val="2"/>
        <w:jc w:val="both"/>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rPr>
        <w:t>程院院士</w:t>
      </w:r>
      <w:r>
        <w:rPr>
          <w:rFonts w:hint="eastAsia" w:ascii="仿宋_GB2312" w:hAnsi="Times New Roman" w:eastAsia="仿宋_GB2312" w:cs="Times New Roman"/>
          <w:b w:val="0"/>
          <w:bCs w:val="0"/>
          <w:sz w:val="32"/>
          <w:szCs w:val="32"/>
          <w:lang w:eastAsia="zh-CN"/>
        </w:rPr>
        <w:t>俞建勇</w:t>
      </w:r>
      <w:r>
        <w:rPr>
          <w:rFonts w:hint="eastAsia" w:ascii="仿宋_GB2312" w:hAnsi="Times New Roman" w:eastAsia="仿宋_GB2312" w:cs="Times New Roman"/>
          <w:b w:val="0"/>
          <w:bCs w:val="0"/>
          <w:sz w:val="32"/>
          <w:szCs w:val="32"/>
        </w:rPr>
        <w:t>为主任委员</w:t>
      </w:r>
      <w:r>
        <w:rPr>
          <w:rFonts w:hint="eastAsia" w:ascii="仿宋_GB2312" w:hAnsi="Times New Roman" w:eastAsia="仿宋_GB2312" w:cs="Times New Roman"/>
          <w:b w:val="0"/>
          <w:bCs w:val="0"/>
          <w:sz w:val="32"/>
          <w:szCs w:val="32"/>
          <w:lang w:eastAsia="zh-CN"/>
        </w:rPr>
        <w:t>。</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活动步骤</w:t>
      </w:r>
    </w:p>
    <w:p>
      <w:pPr>
        <w:spacing w:line="56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本次活动主要包括“双创”项目的网络征集、初赛评审、专题复赛、现场决赛和项目“产教融创”落地对接推广五个步骤。</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rPr>
        <w:t>参赛要求</w:t>
      </w:r>
    </w:p>
    <w:p>
      <w:pPr>
        <w:pStyle w:val="12"/>
        <w:numPr>
          <w:ilvl w:val="0"/>
          <w:numId w:val="4"/>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参赛主体要求</w:t>
      </w:r>
    </w:p>
    <w:p>
      <w:pPr>
        <w:pStyle w:val="12"/>
        <w:numPr>
          <w:ilvl w:val="0"/>
          <w:numId w:val="5"/>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企业组</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（1）具有法人资格、与纺织行业有关的所有企业；</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（2）参赛项目具有良好发展潜力；</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（3）拥有自主知识产权且无产权纠纷；</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（4）无不良记录。</w:t>
      </w:r>
    </w:p>
    <w:p>
      <w:pPr>
        <w:pStyle w:val="12"/>
        <w:numPr>
          <w:ilvl w:val="0"/>
          <w:numId w:val="5"/>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团队组</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（1）遵纪守法的个人或团队（含注册时间不满1年的中小微企业）；</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（2）团队核心成员不超过5人；</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（3）参赛项目的创意、产品、技术及相关专利归属参赛团队，与其它单位或个人无知识产权纠纷。</w:t>
      </w:r>
    </w:p>
    <w:p>
      <w:pPr>
        <w:pStyle w:val="12"/>
        <w:spacing w:line="560" w:lineRule="exact"/>
        <w:ind w:firstLine="643"/>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w:t>
      </w:r>
      <w:r>
        <w:rPr>
          <w:rFonts w:ascii="仿宋_GB2312" w:hAnsi="Times New Roman" w:eastAsia="仿宋_GB2312" w:cs="Times New Roman"/>
          <w:b/>
          <w:sz w:val="32"/>
          <w:szCs w:val="32"/>
        </w:rPr>
        <w:t xml:space="preserve">. </w:t>
      </w:r>
      <w:r>
        <w:rPr>
          <w:rFonts w:hint="eastAsia" w:ascii="仿宋_GB2312" w:hAnsi="Times New Roman" w:eastAsia="仿宋_GB2312" w:cs="Times New Roman"/>
          <w:b/>
          <w:sz w:val="32"/>
          <w:szCs w:val="32"/>
        </w:rPr>
        <w:t>机构组</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（1）具有法人资格、与纺织行业有关的所有院校或科研单位；</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（2）参赛项目具有良好发展潜力；</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（3）拥有自主知识产权且无产权纠纷；</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（4）无不良记录。</w:t>
      </w:r>
    </w:p>
    <w:p>
      <w:pPr>
        <w:pStyle w:val="12"/>
        <w:numPr>
          <w:ilvl w:val="0"/>
          <w:numId w:val="4"/>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参赛项目要求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每个参赛主体限报3个项目（作品）。</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rPr>
        <w:t>申报项目要求</w:t>
      </w:r>
    </w:p>
    <w:p>
      <w:pPr>
        <w:pStyle w:val="12"/>
        <w:spacing w:line="560" w:lineRule="exact"/>
        <w:ind w:firstLine="643"/>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（一）申报内容</w:t>
      </w:r>
      <w:r>
        <w:rPr>
          <w:rFonts w:ascii="仿宋_GB2312" w:hAnsi="Times New Roman" w:eastAsia="仿宋_GB2312" w:cs="Times New Roman"/>
          <w:b/>
          <w:sz w:val="32"/>
          <w:szCs w:val="32"/>
        </w:rPr>
        <w:t>要求</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申报项目具体内容包括：项目标题、专题领域、项目简介、技术能力、商业能力、团队能力以及包含吸纳外部投资的商业计划等。申报样表及说明详见附件</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p>
    <w:p>
      <w:pPr>
        <w:pStyle w:val="12"/>
        <w:numPr>
          <w:ilvl w:val="0"/>
          <w:numId w:val="4"/>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申报材料</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通过报名网站申报电子版材料，同时邮寄一份纸质版材料，并在封面和承诺页加盖公章或签字（团队组）。</w:t>
      </w:r>
    </w:p>
    <w:p>
      <w:pPr>
        <w:pStyle w:val="12"/>
        <w:spacing w:line="560" w:lineRule="exact"/>
        <w:ind w:firstLine="643"/>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（三）时间</w:t>
      </w:r>
      <w:r>
        <w:rPr>
          <w:rFonts w:ascii="仿宋_GB2312" w:hAnsi="Times New Roman" w:eastAsia="仿宋_GB2312" w:cs="Times New Roman"/>
          <w:b/>
          <w:sz w:val="32"/>
          <w:szCs w:val="32"/>
        </w:rPr>
        <w:t>安排</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申报时间</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2021年3月</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日—2021年</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31</w:t>
      </w:r>
      <w:r>
        <w:rPr>
          <w:rFonts w:hint="eastAsia" w:ascii="仿宋_GB2312" w:hAnsi="Times New Roman" w:eastAsia="仿宋_GB2312" w:cs="Times New Roman"/>
          <w:sz w:val="32"/>
          <w:szCs w:val="32"/>
        </w:rPr>
        <w:t>日；</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在线初审</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2021年</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日—2021年</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日；</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专题</w:t>
      </w:r>
      <w:r>
        <w:rPr>
          <w:rFonts w:ascii="仿宋_GB2312" w:hAnsi="Times New Roman" w:eastAsia="仿宋_GB2312" w:cs="Times New Roman"/>
          <w:sz w:val="32"/>
          <w:szCs w:val="32"/>
        </w:rPr>
        <w:t>复赛：</w:t>
      </w:r>
      <w:r>
        <w:rPr>
          <w:rFonts w:hint="eastAsia" w:ascii="仿宋_GB2312" w:hAnsi="Times New Roman" w:eastAsia="仿宋_GB2312" w:cs="Times New Roman"/>
          <w:sz w:val="32"/>
          <w:szCs w:val="32"/>
        </w:rPr>
        <w:t>2021年</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月1</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日—2021年8月20日；</w:t>
      </w:r>
    </w:p>
    <w:p>
      <w:pPr>
        <w:pStyle w:val="12"/>
        <w:spacing w:line="56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现场</w:t>
      </w:r>
      <w:r>
        <w:rPr>
          <w:rFonts w:ascii="仿宋_GB2312" w:hAnsi="Times New Roman" w:eastAsia="仿宋_GB2312" w:cs="Times New Roman"/>
          <w:sz w:val="32"/>
          <w:szCs w:val="32"/>
        </w:rPr>
        <w:t>决赛：</w:t>
      </w:r>
      <w:r>
        <w:rPr>
          <w:rFonts w:hint="eastAsia" w:ascii="仿宋_GB2312" w:hAnsi="Times New Roman" w:eastAsia="仿宋_GB2312" w:cs="Times New Roman"/>
          <w:sz w:val="32"/>
          <w:szCs w:val="32"/>
        </w:rPr>
        <w:t>2021年8月2</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val="en-US" w:eastAsia="zh-CN"/>
        </w:rPr>
        <w:t>2021年</w:t>
      </w:r>
      <w:r>
        <w:rPr>
          <w:rFonts w:hint="eastAsia" w:ascii="仿宋_GB2312" w:hAnsi="Times New Roman" w:eastAsia="仿宋_GB2312" w:cs="Times New Roman"/>
          <w:sz w:val="32"/>
          <w:szCs w:val="32"/>
        </w:rPr>
        <w:t>8月27日</w:t>
      </w:r>
      <w:r>
        <w:rPr>
          <w:rFonts w:hint="eastAsia" w:ascii="仿宋_GB2312" w:hAnsi="Times New Roman" w:eastAsia="仿宋_GB2312" w:cs="Times New Roman"/>
          <w:sz w:val="32"/>
          <w:szCs w:val="32"/>
          <w:lang w:eastAsia="zh-CN"/>
        </w:rPr>
        <w:t>；</w:t>
      </w:r>
    </w:p>
    <w:p>
      <w:pPr>
        <w:pStyle w:val="12"/>
        <w:spacing w:line="560" w:lineRule="exact"/>
        <w:ind w:firstLine="640"/>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项目“产教融创”落地对接推广：2021年8月底。</w:t>
      </w:r>
    </w:p>
    <w:p>
      <w:pPr>
        <w:pStyle w:val="1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参加</w:t>
      </w:r>
      <w:r>
        <w:rPr>
          <w:rFonts w:hint="eastAsia" w:ascii="仿宋_GB2312" w:hAnsi="Times New Roman" w:eastAsia="仿宋_GB2312" w:cs="Times New Roman"/>
          <w:sz w:val="32"/>
          <w:szCs w:val="32"/>
          <w:lang w:eastAsia="zh-CN"/>
        </w:rPr>
        <w:t>专题</w:t>
      </w:r>
      <w:r>
        <w:rPr>
          <w:rFonts w:ascii="仿宋_GB2312" w:hAnsi="Times New Roman" w:eastAsia="仿宋_GB2312" w:cs="Times New Roman"/>
          <w:sz w:val="32"/>
          <w:szCs w:val="32"/>
        </w:rPr>
        <w:t>复赛和决赛的企业或团队</w:t>
      </w:r>
      <w:r>
        <w:rPr>
          <w:rFonts w:hint="eastAsia" w:ascii="仿宋_GB2312" w:hAnsi="Times New Roman" w:eastAsia="仿宋_GB2312" w:cs="Times New Roman"/>
          <w:sz w:val="32"/>
          <w:szCs w:val="32"/>
        </w:rPr>
        <w:t>将</w:t>
      </w:r>
      <w:r>
        <w:rPr>
          <w:rFonts w:ascii="仿宋_GB2312" w:hAnsi="Times New Roman" w:eastAsia="仿宋_GB2312" w:cs="Times New Roman"/>
          <w:sz w:val="32"/>
          <w:szCs w:val="32"/>
        </w:rPr>
        <w:t>在评审结束后</w:t>
      </w:r>
      <w:r>
        <w:rPr>
          <w:rFonts w:hint="eastAsia" w:ascii="仿宋_GB2312" w:hAnsi="Times New Roman" w:eastAsia="仿宋_GB2312" w:cs="Times New Roman"/>
          <w:sz w:val="32"/>
          <w:szCs w:val="32"/>
        </w:rPr>
        <w:t>公布</w:t>
      </w:r>
      <w:r>
        <w:rPr>
          <w:rFonts w:ascii="仿宋_GB2312" w:hAnsi="Times New Roman" w:eastAsia="仿宋_GB2312" w:cs="Times New Roman"/>
          <w:sz w:val="32"/>
          <w:szCs w:val="32"/>
        </w:rPr>
        <w:t>到</w:t>
      </w:r>
      <w:r>
        <w:rPr>
          <w:rFonts w:hint="eastAsia" w:ascii="仿宋_GB2312" w:hAnsi="Times New Roman" w:eastAsia="仿宋_GB2312" w:cs="Times New Roman"/>
          <w:sz w:val="32"/>
          <w:szCs w:val="32"/>
        </w:rPr>
        <w:t>网站</w:t>
      </w:r>
      <w:r>
        <w:rPr>
          <w:rFonts w:ascii="仿宋_GB2312" w:hAnsi="Times New Roman" w:eastAsia="仿宋_GB2312" w:cs="Times New Roman"/>
          <w:sz w:val="32"/>
          <w:szCs w:val="32"/>
        </w:rPr>
        <w:t>上</w:t>
      </w:r>
      <w:r>
        <w:rPr>
          <w:rFonts w:hint="eastAsia" w:ascii="仿宋_GB2312" w:hAnsi="Times New Roman" w:eastAsia="仿宋_GB2312" w:cs="Times New Roman"/>
          <w:sz w:val="32"/>
          <w:szCs w:val="32"/>
        </w:rPr>
        <w:t>及微信群；专题复赛、</w:t>
      </w:r>
      <w:r>
        <w:rPr>
          <w:rFonts w:hint="eastAsia" w:ascii="Times New Roman" w:hAnsi="Times New Roman" w:eastAsia="仿宋_GB2312" w:cs="Times New Roman"/>
          <w:sz w:val="32"/>
          <w:lang w:val="en-US" w:eastAsia="zh-CN"/>
        </w:rPr>
        <w:t>项目“产教融创”落地对接推广</w:t>
      </w:r>
      <w:r>
        <w:rPr>
          <w:rFonts w:hint="eastAsia" w:ascii="仿宋_GB2312" w:hAnsi="Times New Roman" w:eastAsia="仿宋_GB2312" w:cs="Times New Roman"/>
          <w:sz w:val="32"/>
          <w:szCs w:val="32"/>
        </w:rPr>
        <w:t>活动</w:t>
      </w:r>
      <w:r>
        <w:rPr>
          <w:rFonts w:hint="eastAsia" w:ascii="仿宋_GB2312" w:hAnsi="Times New Roman" w:eastAsia="仿宋_GB2312" w:cs="Times New Roman"/>
          <w:sz w:val="32"/>
          <w:szCs w:val="32"/>
          <w:lang w:eastAsia="zh-CN"/>
        </w:rPr>
        <w:t>具体时间</w:t>
      </w:r>
      <w:r>
        <w:rPr>
          <w:rFonts w:hint="eastAsia" w:ascii="仿宋_GB2312" w:hAnsi="Times New Roman" w:eastAsia="仿宋_GB2312" w:cs="Times New Roman"/>
          <w:sz w:val="32"/>
          <w:szCs w:val="32"/>
        </w:rPr>
        <w:t>另行通知</w:t>
      </w:r>
      <w:r>
        <w:rPr>
          <w:rFonts w:ascii="仿宋_GB2312" w:hAnsi="Times New Roman" w:eastAsia="仿宋_GB2312" w:cs="Times New Roman"/>
          <w:sz w:val="32"/>
          <w:szCs w:val="32"/>
        </w:rPr>
        <w:t>。</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rPr>
        <w:t>大赛奖项</w:t>
      </w:r>
    </w:p>
    <w:p>
      <w:pPr>
        <w:autoSpaceDE w:val="0"/>
        <w:autoSpaceDN w:val="0"/>
        <w:adjustRightInd w:val="0"/>
        <w:snapToGri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一等奖</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名，奖金</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0000元</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含税</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p>
    <w:p>
      <w:pPr>
        <w:autoSpaceDE w:val="0"/>
        <w:autoSpaceDN w:val="0"/>
        <w:adjustRightInd w:val="0"/>
        <w:snapToGri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二等奖</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名，奖金</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0000元（含税）；</w:t>
      </w:r>
    </w:p>
    <w:p>
      <w:pPr>
        <w:autoSpaceDE w:val="0"/>
        <w:autoSpaceDN w:val="0"/>
        <w:adjustRightInd w:val="0"/>
        <w:snapToGri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三等奖</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名，奖金</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000元（含税）；</w:t>
      </w:r>
    </w:p>
    <w:p>
      <w:pPr>
        <w:autoSpaceDE w:val="0"/>
        <w:autoSpaceDN w:val="0"/>
        <w:adjustRightInd w:val="0"/>
        <w:snapToGri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另设项目优胜奖、组织奖、创新企业家等奖项若干名。</w:t>
      </w:r>
    </w:p>
    <w:p>
      <w:pPr>
        <w:autoSpaceDE w:val="0"/>
        <w:autoSpaceDN w:val="0"/>
        <w:adjustRightInd w:val="0"/>
        <w:snapToGrid w:val="0"/>
        <w:spacing w:line="560" w:lineRule="exact"/>
        <w:ind w:firstLine="640" w:firstLineChars="20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sz w:val="32"/>
          <w:szCs w:val="32"/>
        </w:rPr>
        <w:t>一、二等奖项目将被推荐到工信部</w:t>
      </w:r>
      <w:r>
        <w:rPr>
          <w:rFonts w:hint="eastAsia" w:ascii="仿宋_GB2312" w:hAnsi="Times New Roman" w:eastAsia="仿宋_GB2312" w:cs="Times New Roman"/>
          <w:sz w:val="32"/>
          <w:szCs w:val="32"/>
          <w:lang w:eastAsia="zh-CN"/>
        </w:rPr>
        <w:t>有关部门</w:t>
      </w:r>
      <w:r>
        <w:rPr>
          <w:rFonts w:hint="eastAsia" w:ascii="仿宋_GB2312" w:hAnsi="Times New Roman" w:eastAsia="仿宋_GB2312" w:cs="Times New Roman"/>
          <w:sz w:val="32"/>
          <w:szCs w:val="32"/>
        </w:rPr>
        <w:t>，参加工信部创新推广项目库；</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rPr>
        <w:t>参赛费用</w:t>
      </w:r>
    </w:p>
    <w:p>
      <w:pPr>
        <w:spacing w:line="56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本次大赛不收取任何费用。</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rPr>
        <w:t>赛后活动</w:t>
      </w:r>
    </w:p>
    <w:p>
      <w:pPr>
        <w:autoSpaceDE w:val="0"/>
        <w:autoSpaceDN w:val="0"/>
        <w:adjustRightInd w:val="0"/>
        <w:snapToGri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召开第二届纺织服装行业创新创业项目“产教融创”对接活动</w:t>
      </w:r>
      <w:r>
        <w:rPr>
          <w:rFonts w:hint="eastAsia" w:ascii="仿宋_GB2312" w:hAnsi="Times New Roman" w:eastAsia="仿宋_GB2312" w:cs="Times New Roman"/>
          <w:sz w:val="32"/>
          <w:szCs w:val="32"/>
          <w:lang w:eastAsia="zh-CN"/>
        </w:rPr>
        <w:t>（另行通知）</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邀请</w:t>
      </w:r>
      <w:r>
        <w:rPr>
          <w:rFonts w:hint="eastAsia" w:ascii="仿宋_GB2312" w:hAnsi="Times New Roman" w:eastAsia="仿宋_GB2312" w:cs="Times New Roman"/>
          <w:sz w:val="32"/>
          <w:szCs w:val="32"/>
        </w:rPr>
        <w:t>40</w:t>
      </w:r>
      <w:r>
        <w:rPr>
          <w:rFonts w:hint="eastAsia" w:ascii="仿宋_GB2312" w:hAnsi="Times New Roman" w:eastAsia="仿宋_GB2312" w:cs="Times New Roman"/>
          <w:sz w:val="32"/>
          <w:szCs w:val="32"/>
          <w:lang w:eastAsia="zh-CN"/>
        </w:rPr>
        <w:t>余</w:t>
      </w:r>
      <w:r>
        <w:rPr>
          <w:rFonts w:hint="eastAsia" w:ascii="仿宋_GB2312" w:hAnsi="Times New Roman" w:eastAsia="仿宋_GB2312" w:cs="Times New Roman"/>
          <w:sz w:val="32"/>
          <w:szCs w:val="32"/>
        </w:rPr>
        <w:t>家投资机构（见附件2）参与</w:t>
      </w:r>
      <w:r>
        <w:rPr>
          <w:rFonts w:hint="eastAsia" w:ascii="仿宋_GB2312" w:hAnsi="Times New Roman" w:eastAsia="仿宋_GB2312" w:cs="Times New Roman"/>
          <w:sz w:val="32"/>
          <w:szCs w:val="32"/>
          <w:lang w:eastAsia="zh-CN"/>
        </w:rPr>
        <w:t>，争取</w:t>
      </w:r>
      <w:r>
        <w:rPr>
          <w:rFonts w:hint="eastAsia" w:ascii="仿宋_GB2312" w:hAnsi="Times New Roman" w:eastAsia="仿宋_GB2312" w:cs="Times New Roman"/>
          <w:sz w:val="32"/>
          <w:szCs w:val="32"/>
        </w:rPr>
        <w:t>产业资金支持，并落地产业园区、孵化器，推动科技成果转化和双创项目落地。</w:t>
      </w:r>
    </w:p>
    <w:p>
      <w:pPr>
        <w:numPr>
          <w:ilvl w:val="0"/>
          <w:numId w:val="1"/>
        </w:numPr>
        <w:spacing w:before="156" w:beforeLines="50"/>
        <w:ind w:firstLine="640" w:firstLineChars="200"/>
        <w:rPr>
          <w:rFonts w:hint="eastAsia" w:ascii="黑体" w:hAnsi="黑体" w:eastAsia="黑体" w:cs="黑体"/>
          <w:sz w:val="32"/>
          <w:szCs w:val="32"/>
        </w:rPr>
      </w:pPr>
      <w:r>
        <w:rPr>
          <w:rFonts w:hint="eastAsia" w:ascii="黑体" w:hAnsi="黑体" w:eastAsia="黑体" w:cs="黑体"/>
          <w:sz w:val="32"/>
          <w:szCs w:val="32"/>
        </w:rPr>
        <w:t>联系方式</w:t>
      </w:r>
    </w:p>
    <w:p>
      <w:pPr>
        <w:pStyle w:val="12"/>
        <w:numPr>
          <w:ilvl w:val="0"/>
          <w:numId w:val="6"/>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中</w:t>
      </w:r>
      <w:r>
        <w:rPr>
          <w:rFonts w:hint="eastAsia" w:ascii="仿宋_GB2312" w:hAnsi="Times New Roman" w:eastAsia="仿宋_GB2312" w:cs="Times New Roman"/>
          <w:b/>
          <w:sz w:val="32"/>
          <w:szCs w:val="32"/>
          <w:lang w:eastAsia="zh-CN"/>
        </w:rPr>
        <w:t>国</w:t>
      </w:r>
      <w:r>
        <w:rPr>
          <w:rFonts w:hint="eastAsia" w:ascii="仿宋_GB2312" w:hAnsi="Times New Roman" w:eastAsia="仿宋_GB2312" w:cs="Times New Roman"/>
          <w:b/>
          <w:sz w:val="32"/>
          <w:szCs w:val="32"/>
        </w:rPr>
        <w:t>纺联纺织人才交流培训中心</w:t>
      </w:r>
    </w:p>
    <w:p>
      <w:pPr>
        <w:spacing w:line="56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联系人：王贵宝 010-85229671   手机13366819929</w:t>
      </w:r>
    </w:p>
    <w:p>
      <w:pPr>
        <w:spacing w:line="560" w:lineRule="exact"/>
        <w:ind w:left="1620" w:firstLine="323" w:firstLineChars="101"/>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任姝瑾 010-85229514   手机17611671509</w:t>
      </w:r>
    </w:p>
    <w:p>
      <w:pPr>
        <w:spacing w:line="560" w:lineRule="exact"/>
        <w:ind w:left="210" w:firstLine="42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val="0"/>
          <w:bCs w:val="0"/>
          <w:kern w:val="2"/>
          <w:sz w:val="32"/>
          <w:szCs w:val="32"/>
          <w:lang w:val="en-US" w:eastAsia="zh-CN" w:bidi="ar-SA"/>
        </w:rPr>
        <w:t>联系邮箱：</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"mailto:texhr@126.com" </w:instrText>
      </w:r>
      <w:r>
        <w:rPr>
          <w:rFonts w:hint="eastAsia" w:ascii="仿宋_GB2312" w:hAnsi="Times New Roman" w:eastAsia="仿宋_GB2312" w:cs="Times New Roman"/>
          <w:sz w:val="32"/>
          <w:szCs w:val="32"/>
        </w:rPr>
        <w:fldChar w:fldCharType="separate"/>
      </w:r>
      <w:r>
        <w:rPr>
          <w:rStyle w:val="11"/>
          <w:rFonts w:hint="eastAsia" w:ascii="仿宋_GB2312" w:hAnsi="Times New Roman" w:eastAsia="仿宋_GB2312" w:cs="Times New Roman"/>
          <w:sz w:val="32"/>
          <w:szCs w:val="32"/>
        </w:rPr>
        <w:t>texhr@126.com</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lang w:val="en-US" w:eastAsia="zh-CN"/>
        </w:rPr>
        <w:t xml:space="preserve"> 13366819929@163.com</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申报</w:t>
      </w:r>
      <w:r>
        <w:rPr>
          <w:rFonts w:hint="eastAsia" w:ascii="仿宋_GB2312" w:hAnsi="Times New Roman" w:eastAsia="仿宋_GB2312" w:cs="Times New Roman"/>
          <w:sz w:val="32"/>
          <w:szCs w:val="32"/>
        </w:rPr>
        <w:t>网址：</w:t>
      </w:r>
      <w:r>
        <w:rPr>
          <w:rFonts w:ascii="仿宋_GB2312" w:hAnsi="Times New Roman" w:eastAsia="仿宋_GB2312" w:cs="Times New Roman"/>
          <w:sz w:val="32"/>
          <w:szCs w:val="32"/>
        </w:rPr>
        <w:fldChar w:fldCharType="begin"/>
      </w:r>
      <w:r>
        <w:rPr>
          <w:rFonts w:ascii="仿宋_GB2312" w:hAnsi="Times New Roman" w:eastAsia="仿宋_GB2312" w:cs="Times New Roman"/>
          <w:sz w:val="32"/>
          <w:szCs w:val="32"/>
        </w:rPr>
        <w:instrText xml:space="preserve"> HYPERLINK "https://cnmaker.popshejie.com（3月20日上线）" </w:instrText>
      </w:r>
      <w:r>
        <w:rPr>
          <w:rFonts w:ascii="仿宋_GB2312" w:hAnsi="Times New Roman" w:eastAsia="仿宋_GB2312" w:cs="Times New Roman"/>
          <w:sz w:val="32"/>
          <w:szCs w:val="32"/>
        </w:rPr>
        <w:fldChar w:fldCharType="separate"/>
      </w:r>
      <w:r>
        <w:rPr>
          <w:rStyle w:val="11"/>
          <w:rFonts w:ascii="仿宋_GB2312" w:hAnsi="Times New Roman" w:eastAsia="仿宋_GB2312" w:cs="Times New Roman"/>
          <w:sz w:val="32"/>
          <w:szCs w:val="32"/>
        </w:rPr>
        <w:t>https://cnmaker.popshejie.com</w:t>
      </w:r>
      <w:r>
        <w:rPr>
          <w:rStyle w:val="11"/>
          <w:rFonts w:hint="eastAsia" w:ascii="仿宋_GB2312" w:hAnsi="Times New Roman" w:eastAsia="仿宋_GB2312" w:cs="Times New Roman"/>
          <w:sz w:val="32"/>
          <w:szCs w:val="32"/>
          <w:lang w:eastAsia="zh-CN"/>
        </w:rPr>
        <w:t>（</w:t>
      </w:r>
      <w:r>
        <w:rPr>
          <w:rStyle w:val="11"/>
          <w:rFonts w:hint="eastAsia" w:ascii="仿宋_GB2312" w:hAnsi="Times New Roman" w:eastAsia="仿宋_GB2312" w:cs="Times New Roman"/>
          <w:sz w:val="32"/>
          <w:szCs w:val="32"/>
          <w:lang w:val="en-US" w:eastAsia="zh-CN"/>
        </w:rPr>
        <w:t>3月20日上线</w:t>
      </w:r>
      <w:r>
        <w:rPr>
          <w:rStyle w:val="11"/>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lang w:val="en-US" w:eastAsia="zh-CN"/>
        </w:rPr>
        <w:t xml:space="preserve">    </w:t>
      </w:r>
    </w:p>
    <w:p>
      <w:pPr>
        <w:pStyle w:val="12"/>
        <w:numPr>
          <w:ilvl w:val="0"/>
          <w:numId w:val="6"/>
        </w:numPr>
        <w:spacing w:line="560" w:lineRule="exact"/>
        <w:ind w:firstLineChars="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上海设界商务</w:t>
      </w:r>
      <w:r>
        <w:rPr>
          <w:rFonts w:hint="eastAsia" w:ascii="仿宋_GB2312" w:hAnsi="Times New Roman" w:eastAsia="仿宋_GB2312" w:cs="Times New Roman"/>
          <w:b/>
          <w:sz w:val="32"/>
          <w:szCs w:val="32"/>
          <w:lang w:eastAsia="zh-CN"/>
        </w:rPr>
        <w:t>信息</w:t>
      </w:r>
      <w:r>
        <w:rPr>
          <w:rFonts w:hint="eastAsia" w:ascii="仿宋_GB2312" w:hAnsi="Times New Roman" w:eastAsia="仿宋_GB2312" w:cs="Times New Roman"/>
          <w:b/>
          <w:sz w:val="32"/>
          <w:szCs w:val="32"/>
        </w:rPr>
        <w:t>咨询有限公司</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联系人：  温丽霞 </w:t>
      </w:r>
      <w:r>
        <w:rPr>
          <w:rFonts w:ascii="仿宋_GB2312" w:hAnsi="Times New Roman" w:eastAsia="仿宋_GB2312" w:cs="Times New Roman"/>
          <w:sz w:val="32"/>
          <w:szCs w:val="32"/>
        </w:rPr>
        <w:t xml:space="preserve"> 手机</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3774408946</w:t>
      </w:r>
    </w:p>
    <w:p>
      <w:pPr>
        <w:pStyle w:val="2"/>
        <w:jc w:val="both"/>
        <w:rPr>
          <w:rFonts w:hint="eastAsia" w:ascii="仿宋_GB2312" w:hAnsi="Times New Roman" w:eastAsia="仿宋_GB2312" w:cs="Times New Roman"/>
          <w:sz w:val="32"/>
          <w:szCs w:val="32"/>
          <w:lang w:eastAsia="zh-CN"/>
        </w:rPr>
      </w:pPr>
    </w:p>
    <w:p>
      <w:pPr>
        <w:pStyle w:val="2"/>
        <w:ind w:firstLine="964" w:firstLineChars="3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附件：</w:t>
      </w: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rPr>
        <w:t>参赛项目申报表（样表）</w:t>
      </w:r>
    </w:p>
    <w:p>
      <w:pPr>
        <w:pStyle w:val="2"/>
        <w:jc w:val="both"/>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b w:val="0"/>
          <w:bCs w:val="0"/>
          <w:sz w:val="32"/>
          <w:szCs w:val="32"/>
        </w:rPr>
        <w:t>2. 本次活动拟参与投资机构名录</w:t>
      </w:r>
    </w:p>
    <w:p>
      <w:pPr>
        <w:pStyle w:val="2"/>
        <w:jc w:val="both"/>
        <w:rPr>
          <w:rFonts w:hint="eastAsia" w:ascii="仿宋_GB2312" w:hAnsi="Times New Roman" w:eastAsia="仿宋_GB2312" w:cs="Times New Roman"/>
          <w:b w:val="0"/>
          <w:bCs w:val="0"/>
          <w:sz w:val="32"/>
          <w:szCs w:val="32"/>
        </w:rPr>
      </w:pPr>
    </w:p>
    <w:p>
      <w:pPr>
        <w:pStyle w:val="2"/>
        <w:jc w:val="both"/>
        <w:rPr>
          <w:rFonts w:hint="default" w:ascii="仿宋_GB2312" w:hAnsi="Times New Roman" w:eastAsia="仿宋_GB2312" w:cs="Times New Roman"/>
          <w:sz w:val="32"/>
          <w:szCs w:val="32"/>
          <w:lang w:val="en-US" w:eastAsia="zh-CN"/>
        </w:rPr>
      </w:pPr>
    </w:p>
    <w:p>
      <w:pPr>
        <w:pStyle w:val="2"/>
        <w:jc w:val="both"/>
        <w:rPr>
          <w:rFonts w:hint="default" w:ascii="仿宋_GB2312" w:hAnsi="Times New Roman" w:eastAsia="仿宋_GB2312" w:cs="Times New Roman"/>
          <w:sz w:val="32"/>
          <w:szCs w:val="32"/>
          <w:lang w:val="en-US" w:eastAsia="zh-CN"/>
        </w:rPr>
      </w:pPr>
    </w:p>
    <w:p>
      <w:pPr>
        <w:pStyle w:val="2"/>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 xml:space="preserve">    </w:t>
      </w:r>
      <w:r>
        <w:rPr>
          <w:rFonts w:ascii="仿宋_GB2312" w:hAnsi="Times New Roman" w:eastAsia="仿宋_GB2312" w:cs="Times New Roman"/>
          <w:b w:val="0"/>
          <w:bCs w:val="0"/>
          <w:sz w:val="32"/>
          <w:szCs w:val="32"/>
        </w:rPr>
        <w:t xml:space="preserve">              </w:t>
      </w:r>
      <w:r>
        <w:rPr>
          <w:rFonts w:hint="eastAsia" w:ascii="仿宋_GB2312" w:hAnsi="Times New Roman" w:eastAsia="仿宋_GB2312" w:cs="Times New Roman"/>
          <w:b w:val="0"/>
          <w:bCs w:val="0"/>
          <w:sz w:val="32"/>
          <w:szCs w:val="32"/>
          <w:lang w:val="en-US" w:eastAsia="zh-CN"/>
        </w:rPr>
        <w:t xml:space="preserve">   </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 参赛项目申报表（样表）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90"/>
        <w:gridCol w:w="1065"/>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一</w:t>
            </w:r>
          </w:p>
        </w:tc>
        <w:tc>
          <w:tcPr>
            <w:tcW w:w="990"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项目</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名称</w:t>
            </w: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要求</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说明</w:t>
            </w:r>
          </w:p>
        </w:tc>
        <w:tc>
          <w:tcPr>
            <w:tcW w:w="5678" w:type="dxa"/>
          </w:tcPr>
          <w:p>
            <w:pPr>
              <w:pStyle w:val="2"/>
              <w:numPr>
                <w:ilvl w:val="0"/>
                <w:numId w:val="7"/>
              </w:numPr>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专题方向可选择“产业</w:t>
            </w:r>
            <w:r>
              <w:rPr>
                <w:rFonts w:hint="eastAsia" w:ascii="仿宋" w:hAnsi="仿宋" w:eastAsia="仿宋" w:cs="仿宋"/>
                <w:b w:val="0"/>
                <w:bCs w:val="0"/>
                <w:color w:val="666666"/>
                <w:spacing w:val="8"/>
                <w:kern w:val="0"/>
                <w:sz w:val="24"/>
                <w:szCs w:val="24"/>
                <w:shd w:val="clear" w:color="auto" w:fill="FFFFFF"/>
                <w:vertAlign w:val="baseline"/>
                <w:lang w:val="en-US" w:eastAsia="zh-Hans" w:bidi="ar-SA"/>
              </w:rPr>
              <w:t>数</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字</w:t>
            </w:r>
            <w:r>
              <w:rPr>
                <w:rFonts w:hint="eastAsia" w:ascii="仿宋" w:hAnsi="仿宋" w:eastAsia="仿宋" w:cs="仿宋"/>
                <w:b w:val="0"/>
                <w:bCs w:val="0"/>
                <w:color w:val="666666"/>
                <w:spacing w:val="8"/>
                <w:kern w:val="0"/>
                <w:sz w:val="24"/>
                <w:szCs w:val="24"/>
                <w:shd w:val="clear" w:color="auto" w:fill="FFFFFF"/>
                <w:vertAlign w:val="baseline"/>
                <w:lang w:val="en-US" w:eastAsia="zh-Hans" w:bidi="ar-SA"/>
              </w:rPr>
              <w:t>化</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（供应链）”、“产业</w:t>
            </w:r>
            <w:r>
              <w:rPr>
                <w:rFonts w:hint="eastAsia" w:ascii="仿宋" w:hAnsi="仿宋" w:eastAsia="仿宋" w:cs="仿宋"/>
                <w:b w:val="0"/>
                <w:bCs w:val="0"/>
                <w:color w:val="666666"/>
                <w:spacing w:val="8"/>
                <w:kern w:val="0"/>
                <w:sz w:val="24"/>
                <w:szCs w:val="24"/>
                <w:shd w:val="clear" w:color="auto" w:fill="FFFFFF"/>
                <w:vertAlign w:val="baseline"/>
                <w:lang w:val="en-US" w:eastAsia="zh-Hans" w:bidi="ar-SA"/>
              </w:rPr>
              <w:t>数</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字</w:t>
            </w:r>
            <w:r>
              <w:rPr>
                <w:rFonts w:hint="eastAsia" w:ascii="仿宋" w:hAnsi="仿宋" w:eastAsia="仿宋" w:cs="仿宋"/>
                <w:b w:val="0"/>
                <w:bCs w:val="0"/>
                <w:color w:val="666666"/>
                <w:spacing w:val="8"/>
                <w:kern w:val="0"/>
                <w:sz w:val="24"/>
                <w:szCs w:val="24"/>
                <w:shd w:val="clear" w:color="auto" w:fill="FFFFFF"/>
                <w:vertAlign w:val="baseline"/>
                <w:lang w:val="en-US" w:eastAsia="zh-Hans" w:bidi="ar-SA"/>
              </w:rPr>
              <w:t>化</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（消费升级）”、“</w:t>
            </w:r>
            <w:r>
              <w:rPr>
                <w:rFonts w:hint="eastAsia" w:ascii="仿宋" w:hAnsi="仿宋" w:eastAsia="仿宋" w:cs="仿宋"/>
                <w:b w:val="0"/>
                <w:bCs w:val="0"/>
                <w:color w:val="666666"/>
                <w:spacing w:val="8"/>
                <w:kern w:val="0"/>
                <w:sz w:val="24"/>
                <w:szCs w:val="24"/>
                <w:shd w:val="clear" w:color="auto" w:fill="FFFFFF"/>
                <w:vertAlign w:val="baseline"/>
                <w:lang w:val="en-US" w:eastAsia="zh-Hans" w:bidi="ar-SA"/>
              </w:rPr>
              <w:t>材料科技</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w:t>
            </w:r>
            <w:r>
              <w:rPr>
                <w:rFonts w:hint="eastAsia" w:ascii="仿宋" w:hAnsi="仿宋" w:eastAsia="仿宋" w:cs="仿宋"/>
                <w:b w:val="0"/>
                <w:bCs w:val="0"/>
                <w:color w:val="666666"/>
                <w:spacing w:val="8"/>
                <w:kern w:val="0"/>
                <w:sz w:val="24"/>
                <w:szCs w:val="24"/>
                <w:shd w:val="clear" w:color="auto" w:fill="FFFFFF"/>
                <w:vertAlign w:val="baseline"/>
                <w:lang w:val="en-US" w:eastAsia="zh-Hans" w:bidi="ar-SA"/>
              </w:rPr>
              <w:t>设计创新</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”四类</w:t>
            </w:r>
          </w:p>
          <w:p>
            <w:pPr>
              <w:pStyle w:val="2"/>
              <w:numPr>
                <w:ilvl w:val="0"/>
                <w:numId w:val="7"/>
              </w:numPr>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注重科学术语，避免口语化。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990"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主要</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内容</w:t>
            </w:r>
          </w:p>
        </w:tc>
        <w:tc>
          <w:tcPr>
            <w:tcW w:w="5678"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二</w:t>
            </w:r>
          </w:p>
        </w:tc>
        <w:tc>
          <w:tcPr>
            <w:tcW w:w="990"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项目</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简介</w:t>
            </w: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要求</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说明</w:t>
            </w:r>
          </w:p>
        </w:tc>
        <w:tc>
          <w:tcPr>
            <w:tcW w:w="5678" w:type="dxa"/>
          </w:tcPr>
          <w:p>
            <w:pPr>
              <w:pStyle w:val="2"/>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1.突出项目创新特性；2.可用附件上传跟项目有关的获奖荣誉；3.项目成熟度自评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990"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主要</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内容</w:t>
            </w:r>
          </w:p>
        </w:tc>
        <w:tc>
          <w:tcPr>
            <w:tcW w:w="5678"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三</w:t>
            </w:r>
          </w:p>
        </w:tc>
        <w:tc>
          <w:tcPr>
            <w:tcW w:w="990"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商业</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能力</w:t>
            </w: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要求</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说明</w:t>
            </w:r>
          </w:p>
        </w:tc>
        <w:tc>
          <w:tcPr>
            <w:tcW w:w="5678" w:type="dxa"/>
          </w:tcPr>
          <w:p>
            <w:pPr>
              <w:pStyle w:val="2"/>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1.表述现有市场性；2对未来市场研判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990"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主要</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内容</w:t>
            </w:r>
          </w:p>
        </w:tc>
        <w:tc>
          <w:tcPr>
            <w:tcW w:w="5678"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四</w:t>
            </w:r>
          </w:p>
        </w:tc>
        <w:tc>
          <w:tcPr>
            <w:tcW w:w="990"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团队</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能力</w:t>
            </w: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要求</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说明</w:t>
            </w:r>
          </w:p>
        </w:tc>
        <w:tc>
          <w:tcPr>
            <w:tcW w:w="5678" w:type="dxa"/>
          </w:tcPr>
          <w:p>
            <w:pPr>
              <w:pStyle w:val="2"/>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1.核心创客学识背景、专业特长；2.核心团队人员分工及协同性优势；3.创新机制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990"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主要</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内容</w:t>
            </w:r>
          </w:p>
        </w:tc>
        <w:tc>
          <w:tcPr>
            <w:tcW w:w="5678"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五</w:t>
            </w:r>
          </w:p>
        </w:tc>
        <w:tc>
          <w:tcPr>
            <w:tcW w:w="990"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技术</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能力</w:t>
            </w: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要求</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说明</w:t>
            </w:r>
          </w:p>
        </w:tc>
        <w:tc>
          <w:tcPr>
            <w:tcW w:w="5678" w:type="dxa"/>
          </w:tcPr>
          <w:p>
            <w:pPr>
              <w:pStyle w:val="2"/>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1.核心技术、专利属性；2所处行业水平（国际、国内）；3.专利特性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990"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主要</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内容</w:t>
            </w:r>
          </w:p>
        </w:tc>
        <w:tc>
          <w:tcPr>
            <w:tcW w:w="5678"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六</w:t>
            </w:r>
          </w:p>
        </w:tc>
        <w:tc>
          <w:tcPr>
            <w:tcW w:w="990" w:type="dxa"/>
            <w:vMerge w:val="restart"/>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有关</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需求</w:t>
            </w: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要求</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说明</w:t>
            </w:r>
          </w:p>
        </w:tc>
        <w:tc>
          <w:tcPr>
            <w:tcW w:w="5678" w:type="dxa"/>
          </w:tcPr>
          <w:p>
            <w:pPr>
              <w:pStyle w:val="2"/>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1.融资需求。包括额度、周期等；2.落地园区需求；3.其他需求。如政策、人才、行业资源等。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990" w:type="dxa"/>
            <w:vMerge w:val="continue"/>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c>
          <w:tcPr>
            <w:tcW w:w="1065"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主要</w:t>
            </w: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内容</w:t>
            </w:r>
          </w:p>
        </w:tc>
        <w:tc>
          <w:tcPr>
            <w:tcW w:w="5678" w:type="dxa"/>
          </w:tcPr>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p>
            <w:pPr>
              <w:pStyle w:val="2"/>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p>
        </w:tc>
      </w:tr>
    </w:tbl>
    <w:p>
      <w:pPr>
        <w:pStyle w:val="2"/>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_GB2312" w:hAnsi="Times New Roman" w:eastAsia="仿宋_GB2312" w:cs="Times New Roman"/>
          <w:b w:val="0"/>
          <w:bCs w:val="0"/>
          <w:sz w:val="24"/>
        </w:rPr>
        <w:t>说明：</w:t>
      </w: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1.每项主要内容，不得超过3000字，超出部分，可以附件形式支持。</w:t>
      </w:r>
    </w:p>
    <w:p>
      <w:pPr>
        <w:pStyle w:val="2"/>
        <w:numPr>
          <w:ilvl w:val="0"/>
          <w:numId w:val="0"/>
        </w:numPr>
        <w:ind w:firstLine="512" w:firstLineChars="200"/>
        <w:jc w:val="both"/>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 xml:space="preserve">2.产业数字化（供应链）指产业链中的数字化应用，偏向智造类，包括工业互联网、智能制造、提供生产效率服务体系和系统、供应链效率服务体系和系统; </w:t>
      </w:r>
    </w:p>
    <w:p>
      <w:pPr>
        <w:pStyle w:val="2"/>
        <w:ind w:firstLine="512" w:firstLineChars="200"/>
        <w:jc w:val="both"/>
        <w:rPr>
          <w:rFonts w:hint="eastAsia" w:ascii="仿宋_GB2312" w:hAnsi="Times New Roman" w:eastAsia="仿宋_GB2312" w:cs="Times New Roman"/>
          <w:b w:val="0"/>
          <w:bCs w:val="0"/>
          <w:sz w:val="24"/>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3.“产业数字化（消费升级）”包括电商的营销渠道变革、网红渠道变革和营销类服务体系和系统，比如虚拟模特、人工智能大数据等。</w:t>
      </w:r>
    </w:p>
    <w:p>
      <w:pPr>
        <w:rPr>
          <w:rFonts w:ascii="仿宋_GB2312" w:hAnsi="Times New Roman" w:eastAsia="仿宋_GB2312" w:cs="Times New Roman"/>
          <w:b w:val="0"/>
          <w:bCs w:val="0"/>
          <w:sz w:val="32"/>
          <w:szCs w:val="32"/>
        </w:rPr>
      </w:pPr>
      <w:r>
        <w:rPr>
          <w:rFonts w:ascii="仿宋_GB2312" w:hAnsi="Times New Roman" w:eastAsia="仿宋_GB2312" w:cs="Times New Roman"/>
          <w:b w:val="0"/>
          <w:bCs w:val="0"/>
          <w:sz w:val="32"/>
          <w:szCs w:val="32"/>
        </w:rPr>
        <w:br w:type="page"/>
      </w:r>
    </w:p>
    <w:p>
      <w:pPr>
        <w:pStyle w:val="2"/>
        <w:jc w:val="both"/>
        <w:rPr>
          <w:rFonts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附件2. 本次活动拟参与投资机构名录</w:t>
      </w:r>
    </w:p>
    <w:tbl>
      <w:tblPr>
        <w:tblStyle w:val="8"/>
        <w:tblW w:w="5010" w:type="pct"/>
        <w:tblInd w:w="0" w:type="dxa"/>
        <w:tblLayout w:type="autofit"/>
        <w:tblCellMar>
          <w:top w:w="15" w:type="dxa"/>
          <w:left w:w="15" w:type="dxa"/>
          <w:bottom w:w="15" w:type="dxa"/>
          <w:right w:w="15" w:type="dxa"/>
        </w:tblCellMar>
      </w:tblPr>
      <w:tblGrid>
        <w:gridCol w:w="1387"/>
        <w:gridCol w:w="6966"/>
      </w:tblGrid>
      <w:tr>
        <w:tblPrEx>
          <w:tblCellMar>
            <w:top w:w="15" w:type="dxa"/>
            <w:left w:w="15" w:type="dxa"/>
            <w:bottom w:w="15" w:type="dxa"/>
            <w:right w:w="15" w:type="dxa"/>
          </w:tblCellMar>
        </w:tblPrEx>
        <w:trPr>
          <w:trHeight w:val="285" w:hRule="atLeast"/>
        </w:trPr>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序号</w:t>
            </w:r>
          </w:p>
        </w:tc>
        <w:tc>
          <w:tcPr>
            <w:tcW w:w="4170" w:type="pc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机构（简称）</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帮实资本</w:t>
            </w:r>
          </w:p>
        </w:tc>
      </w:tr>
      <w:tr>
        <w:tblPrEx>
          <w:tblCellMar>
            <w:top w:w="15" w:type="dxa"/>
            <w:left w:w="15" w:type="dxa"/>
            <w:bottom w:w="15" w:type="dxa"/>
            <w:right w:w="15" w:type="dxa"/>
          </w:tblCellMar>
        </w:tblPrEx>
        <w:trPr>
          <w:trHeight w:val="264"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北京同方厚持投资集团</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大观资本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4</w:t>
            </w:r>
          </w:p>
        </w:tc>
        <w:tc>
          <w:tcPr>
            <w:tcW w:w="4170" w:type="pct"/>
            <w:tcBorders>
              <w:top w:val="nil"/>
              <w:left w:val="nil"/>
              <w:bottom w:val="single" w:color="000000" w:sz="8" w:space="0"/>
              <w:right w:val="single" w:color="000000" w:sz="8" w:space="0"/>
            </w:tcBorders>
            <w:shd w:val="clear" w:color="000000" w:fill="FFFFFF"/>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点亮资本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5</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东玖资本</w:t>
            </w:r>
          </w:p>
        </w:tc>
      </w:tr>
      <w:tr>
        <w:tblPrEx>
          <w:tblCellMar>
            <w:top w:w="15" w:type="dxa"/>
            <w:left w:w="15" w:type="dxa"/>
            <w:bottom w:w="15" w:type="dxa"/>
            <w:right w:w="15" w:type="dxa"/>
          </w:tblCellMar>
        </w:tblPrEx>
        <w:trPr>
          <w:trHeight w:val="285"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6</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纺织之光基金</w:t>
            </w:r>
          </w:p>
        </w:tc>
      </w:tr>
      <w:tr>
        <w:tblPrEx>
          <w:tblCellMar>
            <w:top w:w="15" w:type="dxa"/>
            <w:left w:w="15" w:type="dxa"/>
            <w:bottom w:w="15" w:type="dxa"/>
            <w:right w:w="15" w:type="dxa"/>
          </w:tblCellMar>
        </w:tblPrEx>
        <w:trPr>
          <w:trHeight w:val="285"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7</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高腾资本</w:t>
            </w:r>
          </w:p>
        </w:tc>
      </w:tr>
      <w:tr>
        <w:tblPrEx>
          <w:tblCellMar>
            <w:top w:w="15" w:type="dxa"/>
            <w:left w:w="15" w:type="dxa"/>
            <w:bottom w:w="15" w:type="dxa"/>
            <w:right w:w="15" w:type="dxa"/>
          </w:tblCellMar>
        </w:tblPrEx>
        <w:trPr>
          <w:trHeight w:val="40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8</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光速中国创业投资</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9</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杭州同策云领股权投资管理有限公司</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10</w:t>
            </w:r>
          </w:p>
        </w:tc>
        <w:tc>
          <w:tcPr>
            <w:tcW w:w="4170" w:type="pct"/>
            <w:tcBorders>
              <w:top w:val="nil"/>
              <w:left w:val="nil"/>
              <w:bottom w:val="single" w:color="000000" w:sz="8" w:space="0"/>
              <w:right w:val="single" w:color="000000" w:sz="8" w:space="0"/>
            </w:tcBorders>
            <w:shd w:val="clear" w:color="000000" w:fill="FFFFFF"/>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华纳时代（北京）资本管理有限公司</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11</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聚卓基金</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12</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昆仲资本</w:t>
            </w:r>
          </w:p>
        </w:tc>
      </w:tr>
      <w:tr>
        <w:tblPrEx>
          <w:tblCellMar>
            <w:top w:w="15" w:type="dxa"/>
            <w:left w:w="15" w:type="dxa"/>
            <w:bottom w:w="15" w:type="dxa"/>
            <w:right w:w="15" w:type="dxa"/>
          </w:tblCellMar>
        </w:tblPrEx>
        <w:trPr>
          <w:trHeight w:val="32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13</w:t>
            </w:r>
          </w:p>
        </w:tc>
        <w:tc>
          <w:tcPr>
            <w:tcW w:w="4170" w:type="pct"/>
            <w:tcBorders>
              <w:top w:val="nil"/>
              <w:left w:val="nil"/>
              <w:bottom w:val="single" w:color="000000" w:sz="8" w:space="0"/>
              <w:right w:val="single" w:color="000000" w:sz="8" w:space="0"/>
            </w:tcBorders>
            <w:shd w:val="clear" w:color="000000" w:fill="FFFFFF"/>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龙华星朗</w:t>
            </w:r>
          </w:p>
        </w:tc>
      </w:tr>
      <w:tr>
        <w:tblPrEx>
          <w:tblCellMar>
            <w:top w:w="15" w:type="dxa"/>
            <w:left w:w="15" w:type="dxa"/>
            <w:bottom w:w="15" w:type="dxa"/>
            <w:right w:w="15" w:type="dxa"/>
          </w:tblCellMar>
        </w:tblPrEx>
        <w:trPr>
          <w:trHeight w:val="249"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14</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民生银行</w:t>
            </w:r>
          </w:p>
        </w:tc>
      </w:tr>
      <w:tr>
        <w:tblPrEx>
          <w:tblCellMar>
            <w:top w:w="15" w:type="dxa"/>
            <w:left w:w="15" w:type="dxa"/>
            <w:bottom w:w="15" w:type="dxa"/>
            <w:right w:w="15" w:type="dxa"/>
          </w:tblCellMar>
        </w:tblPrEx>
        <w:trPr>
          <w:trHeight w:val="249"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15</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宁波仁弘投资</w:t>
            </w:r>
          </w:p>
        </w:tc>
      </w:tr>
      <w:tr>
        <w:tblPrEx>
          <w:tblCellMar>
            <w:top w:w="15" w:type="dxa"/>
            <w:left w:w="15" w:type="dxa"/>
            <w:bottom w:w="15" w:type="dxa"/>
            <w:right w:w="15" w:type="dxa"/>
          </w:tblCellMar>
        </w:tblPrEx>
        <w:trPr>
          <w:trHeight w:val="285"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16</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璞聚资本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17</w:t>
            </w:r>
          </w:p>
        </w:tc>
        <w:tc>
          <w:tcPr>
            <w:tcW w:w="4170" w:type="pct"/>
            <w:tcBorders>
              <w:top w:val="nil"/>
              <w:left w:val="nil"/>
              <w:bottom w:val="single" w:color="000000" w:sz="8" w:space="0"/>
              <w:right w:val="single" w:color="000000" w:sz="8" w:space="0"/>
            </w:tcBorders>
            <w:shd w:val="clear" w:color="000000" w:fill="FFFFFF"/>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奇财务资本</w:t>
            </w:r>
          </w:p>
        </w:tc>
      </w:tr>
      <w:tr>
        <w:tblPrEx>
          <w:tblCellMar>
            <w:top w:w="15" w:type="dxa"/>
            <w:left w:w="15" w:type="dxa"/>
            <w:bottom w:w="15" w:type="dxa"/>
            <w:right w:w="15" w:type="dxa"/>
          </w:tblCellMar>
        </w:tblPrEx>
        <w:trPr>
          <w:trHeight w:val="285"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18</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启赋资本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19</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谦石投资</w:t>
            </w:r>
          </w:p>
        </w:tc>
      </w:tr>
      <w:tr>
        <w:tblPrEx>
          <w:tblCellMar>
            <w:top w:w="15" w:type="dxa"/>
            <w:left w:w="15" w:type="dxa"/>
            <w:bottom w:w="15" w:type="dxa"/>
            <w:right w:w="15" w:type="dxa"/>
          </w:tblCellMar>
        </w:tblPrEx>
        <w:trPr>
          <w:trHeight w:val="9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20</w:t>
            </w:r>
          </w:p>
        </w:tc>
        <w:tc>
          <w:tcPr>
            <w:tcW w:w="4170" w:type="pct"/>
            <w:tcBorders>
              <w:top w:val="nil"/>
              <w:left w:val="nil"/>
              <w:bottom w:val="single" w:color="000000" w:sz="8" w:space="0"/>
              <w:right w:val="single" w:color="000000" w:sz="8" w:space="0"/>
            </w:tcBorders>
            <w:shd w:val="clear" w:color="000000" w:fill="FFFFFF"/>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谦石星网产业基金</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21</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杉杉创投</w:t>
            </w:r>
          </w:p>
        </w:tc>
      </w:tr>
      <w:tr>
        <w:tblPrEx>
          <w:tblCellMar>
            <w:top w:w="15" w:type="dxa"/>
            <w:left w:w="15" w:type="dxa"/>
            <w:bottom w:w="15" w:type="dxa"/>
            <w:right w:w="15" w:type="dxa"/>
          </w:tblCellMar>
        </w:tblPrEx>
        <w:trPr>
          <w:trHeight w:val="32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22</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上海东证桔石投资管理有限公司</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23</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上海开融投资管理有限公司；</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24</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上海通江投资控股有限公司</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25</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深圳市德迅投资有限公司</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26</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十方麟玺创投</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27</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思得投资</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28</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腾石资本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29</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梧桐高创资本、1617科技孵化器</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30</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易津资本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31</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寅辰资本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32</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永柏领中创投基金</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33</w:t>
            </w:r>
          </w:p>
        </w:tc>
        <w:tc>
          <w:tcPr>
            <w:tcW w:w="4170" w:type="pct"/>
            <w:tcBorders>
              <w:top w:val="nil"/>
              <w:left w:val="nil"/>
              <w:bottom w:val="single" w:color="000000" w:sz="8" w:space="0"/>
              <w:right w:val="single" w:color="000000" w:sz="8" w:space="0"/>
            </w:tcBorders>
            <w:shd w:val="clear" w:color="000000" w:fill="FFFFFF"/>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原点创投</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34</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浙控金诚</w:t>
            </w:r>
          </w:p>
        </w:tc>
      </w:tr>
      <w:tr>
        <w:tblPrEx>
          <w:tblCellMar>
            <w:top w:w="15" w:type="dxa"/>
            <w:left w:w="15" w:type="dxa"/>
            <w:bottom w:w="15" w:type="dxa"/>
            <w:right w:w="15" w:type="dxa"/>
          </w:tblCellMar>
        </w:tblPrEx>
        <w:trPr>
          <w:trHeight w:val="215"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35</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正海资本</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36</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知卓集团</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nil"/>
              <w:right w:val="single" w:color="000000" w:sz="8" w:space="0"/>
            </w:tcBorders>
            <w:shd w:val="clear" w:color="auto" w:fill="auto"/>
            <w:vAlign w:val="bottom"/>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37</w:t>
            </w:r>
          </w:p>
        </w:tc>
        <w:tc>
          <w:tcPr>
            <w:tcW w:w="4170" w:type="pct"/>
            <w:tcBorders>
              <w:top w:val="nil"/>
              <w:left w:val="nil"/>
              <w:bottom w:val="nil"/>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中冶集团投资部</w:t>
            </w:r>
          </w:p>
        </w:tc>
      </w:tr>
      <w:tr>
        <w:tblPrEx>
          <w:tblCellMar>
            <w:top w:w="15" w:type="dxa"/>
            <w:left w:w="15" w:type="dxa"/>
            <w:bottom w:w="15" w:type="dxa"/>
            <w:right w:w="15" w:type="dxa"/>
          </w:tblCellMar>
        </w:tblPrEx>
        <w:trPr>
          <w:trHeight w:val="270" w:hRule="atLeast"/>
        </w:trPr>
        <w:tc>
          <w:tcPr>
            <w:tcW w:w="830" w:type="pct"/>
            <w:tcBorders>
              <w:top w:val="nil"/>
              <w:left w:val="single" w:color="000000" w:sz="8" w:space="0"/>
              <w:bottom w:val="single" w:color="000000" w:sz="8" w:space="0"/>
              <w:right w:val="single" w:color="000000" w:sz="8" w:space="0"/>
            </w:tcBorders>
            <w:shd w:val="clear" w:color="auto" w:fill="auto"/>
            <w:vAlign w:val="bottom"/>
          </w:tcPr>
          <w:p>
            <w:pPr>
              <w:jc w:val="center"/>
              <w:rPr>
                <w:rFonts w:hint="default"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38</w:t>
            </w:r>
          </w:p>
        </w:tc>
        <w:tc>
          <w:tcPr>
            <w:tcW w:w="417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val="0"/>
                <w:bCs w:val="0"/>
                <w:color w:val="666666"/>
                <w:spacing w:val="8"/>
                <w:kern w:val="0"/>
                <w:sz w:val="24"/>
                <w:szCs w:val="24"/>
                <w:shd w:val="clear" w:color="auto" w:fill="FFFFFF"/>
                <w:vertAlign w:val="baseline"/>
                <w:lang w:val="en-US" w:eastAsia="zh-CN" w:bidi="ar-SA"/>
              </w:rPr>
            </w:pPr>
            <w:r>
              <w:rPr>
                <w:rFonts w:hint="eastAsia" w:ascii="仿宋" w:hAnsi="仿宋" w:eastAsia="仿宋" w:cs="仿宋"/>
                <w:b w:val="0"/>
                <w:bCs w:val="0"/>
                <w:color w:val="666666"/>
                <w:spacing w:val="8"/>
                <w:kern w:val="0"/>
                <w:sz w:val="24"/>
                <w:szCs w:val="24"/>
                <w:shd w:val="clear" w:color="auto" w:fill="FFFFFF"/>
                <w:vertAlign w:val="baseline"/>
                <w:lang w:val="en-US" w:eastAsia="zh-CN" w:bidi="ar-SA"/>
              </w:rPr>
              <w:t>北京泰岳投资基金</w:t>
            </w:r>
          </w:p>
        </w:tc>
      </w:tr>
    </w:tbl>
    <w:p>
      <w:pPr>
        <w:pStyle w:val="2"/>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1BC65"/>
    <w:multiLevelType w:val="singleLevel"/>
    <w:tmpl w:val="8C51BC65"/>
    <w:lvl w:ilvl="0" w:tentative="0">
      <w:start w:val="1"/>
      <w:numFmt w:val="chineseCounting"/>
      <w:suff w:val="space"/>
      <w:lvlText w:val="%1、"/>
      <w:lvlJc w:val="left"/>
      <w:rPr>
        <w:rFonts w:hint="eastAsia"/>
      </w:rPr>
    </w:lvl>
  </w:abstractNum>
  <w:abstractNum w:abstractNumId="1">
    <w:nsid w:val="D4D4D779"/>
    <w:multiLevelType w:val="singleLevel"/>
    <w:tmpl w:val="D4D4D779"/>
    <w:lvl w:ilvl="0" w:tentative="0">
      <w:start w:val="1"/>
      <w:numFmt w:val="decimal"/>
      <w:lvlText w:val="%1."/>
      <w:lvlJc w:val="left"/>
      <w:pPr>
        <w:tabs>
          <w:tab w:val="left" w:pos="312"/>
        </w:tabs>
      </w:pPr>
    </w:lvl>
  </w:abstractNum>
  <w:abstractNum w:abstractNumId="2">
    <w:nsid w:val="271333F6"/>
    <w:multiLevelType w:val="multilevel"/>
    <w:tmpl w:val="271333F6"/>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3E6D0ED6"/>
    <w:multiLevelType w:val="multilevel"/>
    <w:tmpl w:val="3E6D0ED6"/>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44786A72"/>
    <w:multiLevelType w:val="multilevel"/>
    <w:tmpl w:val="44786A72"/>
    <w:lvl w:ilvl="0" w:tentative="0">
      <w:start w:val="1"/>
      <w:numFmt w:val="decimal"/>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
    <w:nsid w:val="448201DA"/>
    <w:multiLevelType w:val="multilevel"/>
    <w:tmpl w:val="448201DA"/>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59350ACB"/>
    <w:multiLevelType w:val="multilevel"/>
    <w:tmpl w:val="59350ACB"/>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F8"/>
    <w:rsid w:val="00052640"/>
    <w:rsid w:val="002D1B0E"/>
    <w:rsid w:val="003A4ADE"/>
    <w:rsid w:val="003E4DF8"/>
    <w:rsid w:val="004D566E"/>
    <w:rsid w:val="0056562C"/>
    <w:rsid w:val="00783A07"/>
    <w:rsid w:val="00844F03"/>
    <w:rsid w:val="009565C2"/>
    <w:rsid w:val="00BA4B39"/>
    <w:rsid w:val="00CF32F8"/>
    <w:rsid w:val="00D26846"/>
    <w:rsid w:val="00D84953"/>
    <w:rsid w:val="00EF1FA5"/>
    <w:rsid w:val="040B3B0B"/>
    <w:rsid w:val="09BE2B28"/>
    <w:rsid w:val="0BD43541"/>
    <w:rsid w:val="0D870A95"/>
    <w:rsid w:val="0F5C66A0"/>
    <w:rsid w:val="142D0264"/>
    <w:rsid w:val="19C02AD1"/>
    <w:rsid w:val="1ACE2949"/>
    <w:rsid w:val="21B97312"/>
    <w:rsid w:val="234A7F2C"/>
    <w:rsid w:val="27F946D2"/>
    <w:rsid w:val="37463413"/>
    <w:rsid w:val="37D92229"/>
    <w:rsid w:val="3858050A"/>
    <w:rsid w:val="3AAA4B91"/>
    <w:rsid w:val="444A0FB2"/>
    <w:rsid w:val="47B41FA1"/>
    <w:rsid w:val="4BF45D0B"/>
    <w:rsid w:val="4E8B5EA2"/>
    <w:rsid w:val="528A46A8"/>
    <w:rsid w:val="55EC760D"/>
    <w:rsid w:val="57DD6FCC"/>
    <w:rsid w:val="5D9518A8"/>
    <w:rsid w:val="62971771"/>
    <w:rsid w:val="63232C34"/>
    <w:rsid w:val="6D58156F"/>
    <w:rsid w:val="73EA2F4F"/>
    <w:rsid w:val="74692761"/>
    <w:rsid w:val="75057CDA"/>
    <w:rsid w:val="7AB94CA9"/>
    <w:rsid w:val="7CD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 w:val="52"/>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styleId="12">
    <w:name w:val="List Paragraph"/>
    <w:basedOn w:val="1"/>
    <w:unhideWhenUsed/>
    <w:qFormat/>
    <w:uiPriority w:val="99"/>
    <w:pPr>
      <w:ind w:firstLine="420" w:firstLineChars="200"/>
    </w:p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538</Words>
  <Characters>3067</Characters>
  <Lines>25</Lines>
  <Paragraphs>7</Paragraphs>
  <TotalTime>30</TotalTime>
  <ScaleCrop>false</ScaleCrop>
  <LinksUpToDate>false</LinksUpToDate>
  <CharactersWithSpaces>3598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2021-04-14T02:18:00Z</cp:lastPrinted>
  <dcterms:modified xsi:type="dcterms:W3CDTF">2021-04-25T05:26:59Z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C3F60C09BF424E06B3A32447177F417A</vt:lpwstr>
  </property>
</Properties>
</file>